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08" w:rsidRDefault="00422248" w:rsidP="003F1DDB">
      <w:pPr>
        <w:pStyle w:val="normal"/>
        <w:spacing w:line="360" w:lineRule="auto"/>
        <w:ind w:right="2"/>
      </w:pPr>
      <w:r>
        <w:t>УДК 579.266</w:t>
      </w:r>
    </w:p>
    <w:p w:rsidR="00194D08" w:rsidRDefault="00422248" w:rsidP="003F1DDB">
      <w:pPr>
        <w:pStyle w:val="normal"/>
        <w:spacing w:line="360" w:lineRule="auto"/>
        <w:ind w:right="2"/>
        <w:jc w:val="center"/>
        <w:rPr>
          <w:b/>
        </w:rPr>
      </w:pPr>
      <w:r>
        <w:rPr>
          <w:b/>
        </w:rPr>
        <w:t>ВЛИЯНИЕ КОНЦЕНТРАЦИИ СУЛЬФАТОВ И СУЛЬФИДОВ В АНОДНОЙ КАМЕРЕ МИКРОБНОГО ТОПЛИВНОГО ЭЛЕМЕНТА НА ГЕНЕРАЦИЮ ЭЛЕКТРИЧЕСТВА</w:t>
      </w:r>
    </w:p>
    <w:p w:rsidR="00194D08" w:rsidRDefault="00422248" w:rsidP="003F1DDB">
      <w:pPr>
        <w:pStyle w:val="normal"/>
        <w:spacing w:line="360" w:lineRule="auto"/>
        <w:ind w:right="2"/>
        <w:jc w:val="center"/>
      </w:pPr>
      <w:r>
        <w:t>П.</w:t>
      </w:r>
      <w:r w:rsidR="003F1DDB">
        <w:t> </w:t>
      </w:r>
      <w:r>
        <w:t>А.</w:t>
      </w:r>
      <w:r w:rsidR="003F1DDB">
        <w:t> </w:t>
      </w:r>
      <w:r>
        <w:t>Павлова, Е.</w:t>
      </w:r>
      <w:r w:rsidR="003F1DDB">
        <w:t> </w:t>
      </w:r>
      <w:r>
        <w:t>В.</w:t>
      </w:r>
      <w:r w:rsidR="003F1DDB">
        <w:t> </w:t>
      </w:r>
      <w:r>
        <w:t>Панкратова, А.</w:t>
      </w:r>
      <w:r w:rsidR="003F1DDB">
        <w:t> </w:t>
      </w:r>
      <w:r>
        <w:t>А.</w:t>
      </w:r>
      <w:r w:rsidR="003F1DDB">
        <w:rPr>
          <w:rFonts w:ascii="Arial" w:eastAsia="Arial" w:hAnsi="Arial" w:cs="Arial"/>
          <w:sz w:val="22"/>
          <w:szCs w:val="22"/>
        </w:rPr>
        <w:t> </w:t>
      </w:r>
      <w:proofErr w:type="spellStart"/>
      <w:r>
        <w:t>Самков</w:t>
      </w:r>
      <w:proofErr w:type="spellEnd"/>
      <w:r>
        <w:t>, Н.</w:t>
      </w:r>
      <w:r w:rsidR="003F1DDB">
        <w:t> </w:t>
      </w:r>
      <w:r>
        <w:t>Н.</w:t>
      </w:r>
      <w:r w:rsidR="003F1DDB">
        <w:t> </w:t>
      </w:r>
      <w:proofErr w:type="spellStart"/>
      <w:r>
        <w:t>Волченко</w:t>
      </w:r>
      <w:proofErr w:type="spellEnd"/>
      <w:r>
        <w:t>, А.</w:t>
      </w:r>
      <w:r w:rsidR="003F1DDB">
        <w:t> </w:t>
      </w:r>
      <w:r>
        <w:t>А.</w:t>
      </w:r>
      <w:r w:rsidR="003F1DDB">
        <w:t> </w:t>
      </w:r>
      <w:proofErr w:type="spellStart"/>
      <w:r>
        <w:t>Худокормов</w:t>
      </w:r>
      <w:proofErr w:type="spellEnd"/>
    </w:p>
    <w:p w:rsidR="00194D08" w:rsidRDefault="00422248" w:rsidP="003F1DDB">
      <w:pPr>
        <w:pStyle w:val="normal"/>
        <w:spacing w:line="360" w:lineRule="auto"/>
        <w:ind w:right="2"/>
        <w:jc w:val="center"/>
        <w:rPr>
          <w:i/>
        </w:rPr>
      </w:pPr>
      <w:r>
        <w:rPr>
          <w:i/>
        </w:rPr>
        <w:t>Кубанский государственный университет, Краснодар</w:t>
      </w:r>
    </w:p>
    <w:p w:rsidR="00194D08" w:rsidRDefault="00422248" w:rsidP="003F1DDB">
      <w:pPr>
        <w:pStyle w:val="normal"/>
        <w:spacing w:line="360" w:lineRule="auto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В работе рассматривается влияние неорганических соединений серы, как факторов, способствующих увеличению электрогенеза в микробных топливных элементах (МТЭ). В качестве объекта исследования использовали микрофлору донных отложений лимана Горький </w:t>
      </w:r>
      <w:proofErr w:type="spellStart"/>
      <w:r>
        <w:rPr>
          <w:sz w:val="24"/>
          <w:szCs w:val="24"/>
        </w:rPr>
        <w:t>Каневского</w:t>
      </w:r>
      <w:proofErr w:type="spellEnd"/>
      <w:r>
        <w:rPr>
          <w:sz w:val="24"/>
          <w:szCs w:val="24"/>
        </w:rPr>
        <w:t xml:space="preserve"> района Краснодарского края, осуществляющую электрогенез в анодных камерах </w:t>
      </w:r>
      <w:r w:rsidR="003F1DDB">
        <w:rPr>
          <w:sz w:val="24"/>
          <w:szCs w:val="24"/>
        </w:rPr>
        <w:t xml:space="preserve">мембранного </w:t>
      </w:r>
      <w:r>
        <w:rPr>
          <w:sz w:val="24"/>
          <w:szCs w:val="24"/>
        </w:rPr>
        <w:t>МТЭ, куда были внесены Na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S и MgSO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. В зависимости от типа вносимого соединения серы – сульфида или сульфата, наблюдалось в той или иной степени выраженное повышение электрогенеза по сравнению с контролем, где за время</w:t>
      </w:r>
      <w:r w:rsidR="003F1DDB">
        <w:rPr>
          <w:sz w:val="24"/>
          <w:szCs w:val="24"/>
        </w:rPr>
        <w:t xml:space="preserve"> эксперимента было сгенерировано</w:t>
      </w:r>
      <w:r>
        <w:rPr>
          <w:sz w:val="24"/>
          <w:szCs w:val="24"/>
        </w:rPr>
        <w:t xml:space="preserve"> 5,5 Кл</w:t>
      </w:r>
      <w:r w:rsidR="003F1DDB">
        <w:rPr>
          <w:sz w:val="24"/>
          <w:szCs w:val="24"/>
        </w:rPr>
        <w:t xml:space="preserve"> электричества</w:t>
      </w:r>
      <w:r>
        <w:rPr>
          <w:sz w:val="24"/>
          <w:szCs w:val="24"/>
        </w:rPr>
        <w:t xml:space="preserve">. Рост электрогенеза в МТЭ наблюдался с повышением </w:t>
      </w:r>
      <w:proofErr w:type="gramStart"/>
      <w:r>
        <w:rPr>
          <w:sz w:val="24"/>
          <w:szCs w:val="24"/>
        </w:rPr>
        <w:t>концентрации</w:t>
      </w:r>
      <w:proofErr w:type="gramEnd"/>
      <w:r>
        <w:rPr>
          <w:sz w:val="24"/>
          <w:szCs w:val="24"/>
        </w:rPr>
        <w:t xml:space="preserve"> как сульфидов, так и для сульфатов. При внесении 10 мг/л, в пересчете на серу – </w:t>
      </w:r>
      <w:r w:rsidR="003F1DDB">
        <w:rPr>
          <w:sz w:val="24"/>
          <w:szCs w:val="24"/>
        </w:rPr>
        <w:t xml:space="preserve">электрогенез составил </w:t>
      </w:r>
      <w:r>
        <w:rPr>
          <w:sz w:val="24"/>
          <w:szCs w:val="24"/>
        </w:rPr>
        <w:t>7</w:t>
      </w:r>
      <w:r w:rsidR="003F1DDB">
        <w:rPr>
          <w:sz w:val="24"/>
          <w:szCs w:val="24"/>
        </w:rPr>
        <w:t>,</w:t>
      </w:r>
      <w:r>
        <w:rPr>
          <w:sz w:val="24"/>
          <w:szCs w:val="24"/>
        </w:rPr>
        <w:t xml:space="preserve">9 Кл и 12,6 Кл соответственно, 50 </w:t>
      </w:r>
      <w:r w:rsidR="003F1DDB">
        <w:rPr>
          <w:sz w:val="24"/>
          <w:szCs w:val="24"/>
        </w:rPr>
        <w:t>м</w:t>
      </w:r>
      <w:r>
        <w:rPr>
          <w:sz w:val="24"/>
          <w:szCs w:val="24"/>
        </w:rPr>
        <w:t xml:space="preserve">г/л </w:t>
      </w:r>
      <w:r w:rsidR="003F1DDB">
        <w:rPr>
          <w:sz w:val="24"/>
          <w:szCs w:val="24"/>
        </w:rPr>
        <w:t>– 10,</w:t>
      </w:r>
      <w:r>
        <w:rPr>
          <w:sz w:val="24"/>
          <w:szCs w:val="24"/>
        </w:rPr>
        <w:t xml:space="preserve">7 Кл и 17,0 Кл, 100 мг/л - 10,9 Кл и 21,9 Кл. При внесении 500 мг/л - в случае сульфидов электрогенез упал до 6,9 Кл, сульфатов – </w:t>
      </w:r>
      <w:r w:rsidR="003F1DDB">
        <w:rPr>
          <w:sz w:val="24"/>
          <w:szCs w:val="24"/>
        </w:rPr>
        <w:t xml:space="preserve">продолжил возрастать и достиг </w:t>
      </w:r>
      <w:r>
        <w:rPr>
          <w:sz w:val="24"/>
          <w:szCs w:val="24"/>
        </w:rPr>
        <w:t>25,6 Кл.</w:t>
      </w:r>
    </w:p>
    <w:p w:rsidR="00194D08" w:rsidRDefault="00194D08" w:rsidP="003F1DDB">
      <w:pPr>
        <w:pStyle w:val="normal"/>
        <w:spacing w:line="360" w:lineRule="auto"/>
        <w:ind w:right="2"/>
        <w:rPr>
          <w:sz w:val="24"/>
          <w:szCs w:val="24"/>
        </w:rPr>
      </w:pPr>
    </w:p>
    <w:p w:rsidR="00194D08" w:rsidRDefault="003F1DDB" w:rsidP="003F1DDB">
      <w:pPr>
        <w:pStyle w:val="normal"/>
        <w:tabs>
          <w:tab w:val="left" w:pos="709"/>
        </w:tabs>
        <w:spacing w:line="360" w:lineRule="auto"/>
        <w:ind w:right="2"/>
      </w:pPr>
      <w:r>
        <w:tab/>
      </w:r>
      <w:r w:rsidR="00422248">
        <w:t>Микробный топливный элемент (МТЭ) получил популярность благодаря актуальности альтернативной энергетики. Однако</w:t>
      </w:r>
      <w:proofErr w:type="gramStart"/>
      <w:r w:rsidR="00422248">
        <w:t>,</w:t>
      </w:r>
      <w:proofErr w:type="gramEnd"/>
      <w:r w:rsidR="00422248">
        <w:t xml:space="preserve"> применение МТЭ ограничено малой мощностью, в связи с чем целью работы стало определение возм</w:t>
      </w:r>
      <w:r>
        <w:t>ожности использования различных природных</w:t>
      </w:r>
      <w:r w:rsidR="00422248">
        <w:t xml:space="preserve"> соединений серы как потенциальных медиаторов электрогенеза в МТЭ. Известно, что соединения серы, способные значительно менять степень окисления, играют большую роль </w:t>
      </w:r>
      <w:proofErr w:type="gramStart"/>
      <w:r w:rsidR="00422248">
        <w:t>в</w:t>
      </w:r>
      <w:proofErr w:type="gramEnd"/>
      <w:r w:rsidR="00422248">
        <w:t xml:space="preserve"> </w:t>
      </w:r>
      <w:proofErr w:type="gramStart"/>
      <w:r w:rsidR="00422248">
        <w:t>анаэробных</w:t>
      </w:r>
      <w:proofErr w:type="gramEnd"/>
      <w:r w:rsidR="00422248">
        <w:t xml:space="preserve"> </w:t>
      </w:r>
      <w:proofErr w:type="spellStart"/>
      <w:r w:rsidR="00422248">
        <w:t>микробиоценозах</w:t>
      </w:r>
      <w:proofErr w:type="spellEnd"/>
      <w:r w:rsidR="00422248">
        <w:t>, где сульфаты могут выступать в качестве конечных акцепторов электронов, а сульфиды – воздействовать на среду. Известно, что в МТЭ соединения серы активно участвуют в процессах переноса элект</w:t>
      </w:r>
      <w:r w:rsidR="000434AA">
        <w:t>ронов на анод</w:t>
      </w:r>
      <w:r w:rsidR="00422248">
        <w:t>, и предполагается, что их внесение может увеличивать электрогенез.</w:t>
      </w:r>
    </w:p>
    <w:p w:rsidR="003F1DDB" w:rsidRPr="003F1DDB" w:rsidRDefault="003F1DDB" w:rsidP="003F1DDB">
      <w:pPr>
        <w:pStyle w:val="normal"/>
        <w:tabs>
          <w:tab w:val="left" w:pos="709"/>
        </w:tabs>
        <w:spacing w:line="360" w:lineRule="auto"/>
        <w:ind w:right="2"/>
      </w:pPr>
    </w:p>
    <w:p w:rsidR="00194D08" w:rsidRDefault="00422248" w:rsidP="003F1DDB">
      <w:pPr>
        <w:pStyle w:val="normal"/>
        <w:spacing w:line="360" w:lineRule="auto"/>
        <w:ind w:right="2"/>
        <w:jc w:val="center"/>
        <w:rPr>
          <w:b/>
        </w:rPr>
      </w:pPr>
      <w:r>
        <w:rPr>
          <w:b/>
        </w:rPr>
        <w:lastRenderedPageBreak/>
        <w:t>Материалы и методы</w:t>
      </w:r>
    </w:p>
    <w:p w:rsidR="00194D08" w:rsidRDefault="003F1DDB" w:rsidP="003F1DDB">
      <w:pPr>
        <w:pStyle w:val="normal"/>
        <w:spacing w:line="360" w:lineRule="auto"/>
        <w:ind w:right="2"/>
      </w:pPr>
      <w:r>
        <w:tab/>
      </w:r>
      <w:r w:rsidR="00422248">
        <w:t xml:space="preserve">Объектом исследования послужили МТЭ мембранного типа, использующие </w:t>
      </w:r>
      <w:proofErr w:type="gramStart"/>
      <w:r w:rsidR="00422248">
        <w:t>анаэробный</w:t>
      </w:r>
      <w:proofErr w:type="gramEnd"/>
      <w:r w:rsidR="00422248">
        <w:t xml:space="preserve"> </w:t>
      </w:r>
      <w:proofErr w:type="spellStart"/>
      <w:r w:rsidR="00422248">
        <w:t>микробиоценоз</w:t>
      </w:r>
      <w:proofErr w:type="spellEnd"/>
      <w:r w:rsidR="00422248">
        <w:t xml:space="preserve"> донных отложений водоема. Использовали мембрану МФ-4СК и углеродный войлок </w:t>
      </w:r>
      <w:proofErr w:type="spellStart"/>
      <w:r w:rsidR="00422248">
        <w:t>Ка</w:t>
      </w:r>
      <w:r>
        <w:t>р</w:t>
      </w:r>
      <w:r w:rsidR="00422248">
        <w:t>бопон</w:t>
      </w:r>
      <w:proofErr w:type="spellEnd"/>
      <w:r w:rsidR="00422248">
        <w:t xml:space="preserve"> (Белоруссия). Воздушно-катодные однокамерные мембранные ячейки заполняли модельн</w:t>
      </w:r>
      <w:r w:rsidR="000434AA">
        <w:t>ой сточной водой</w:t>
      </w:r>
      <w:r w:rsidR="00422248">
        <w:t>. В анодные камеры вносили Na</w:t>
      </w:r>
      <w:r w:rsidR="00422248">
        <w:rPr>
          <w:vertAlign w:val="subscript"/>
        </w:rPr>
        <w:t>2</w:t>
      </w:r>
      <w:r w:rsidR="00422248">
        <w:t>S и MgSO</w:t>
      </w:r>
      <w:r w:rsidR="00422248">
        <w:rPr>
          <w:vertAlign w:val="subscript"/>
        </w:rPr>
        <w:t>4</w:t>
      </w:r>
      <w:r w:rsidR="00422248">
        <w:t xml:space="preserve"> в концентрациях от 10, 50, 100 и 500 мг/л в пересчете на серу. Для инокуляции в анодную камеру каждой ячейки вносили микрофлору </w:t>
      </w:r>
      <w:r>
        <w:t>донных отложений</w:t>
      </w:r>
      <w:r w:rsidR="00422248">
        <w:t>. В течение 450 часов эксперимента, проводившег</w:t>
      </w:r>
      <w:r w:rsidR="002642E3">
        <w:t xml:space="preserve">ося при комнатной температуре, </w:t>
      </w:r>
      <w:r w:rsidR="00422248">
        <w:t>на полюсах резистора в 1 КОм, установленного во вн</w:t>
      </w:r>
      <w:r>
        <w:t>ешнюю цепь, измеряли напряжение</w:t>
      </w:r>
      <w:r w:rsidR="00422248">
        <w:t>, по которому вычисляли ток. Оценивали динамику, экстремальные значения тока I и суммарное количество электричества Q каждого МТЭ.</w:t>
      </w:r>
    </w:p>
    <w:p w:rsidR="003F1DDB" w:rsidRPr="003F1DDB" w:rsidRDefault="003F1DDB" w:rsidP="003F1DDB">
      <w:pPr>
        <w:pStyle w:val="normal"/>
        <w:spacing w:line="360" w:lineRule="auto"/>
        <w:ind w:right="2"/>
      </w:pPr>
    </w:p>
    <w:p w:rsidR="00194D08" w:rsidRPr="003F1DDB" w:rsidRDefault="003F1DDB" w:rsidP="003F1DDB">
      <w:pPr>
        <w:pStyle w:val="normal"/>
        <w:spacing w:line="360" w:lineRule="auto"/>
        <w:ind w:right="2"/>
        <w:jc w:val="center"/>
        <w:rPr>
          <w:b/>
        </w:rPr>
      </w:pPr>
      <w:r>
        <w:rPr>
          <w:b/>
        </w:rPr>
        <w:t>Результаты и обсуждение</w:t>
      </w:r>
    </w:p>
    <w:p w:rsidR="00194D08" w:rsidRDefault="003F1DDB" w:rsidP="003F1DDB">
      <w:pPr>
        <w:pStyle w:val="normal"/>
        <w:spacing w:line="360" w:lineRule="auto"/>
        <w:ind w:right="2"/>
      </w:pPr>
      <w:r>
        <w:tab/>
      </w:r>
      <w:r w:rsidR="002642E3">
        <w:t>Ячейки инкубировали в течение</w:t>
      </w:r>
      <w:r w:rsidR="00422248">
        <w:t xml:space="preserve"> 450 часов или 19 суток. Динамика электрического тока для ячеек, с сульфидом и сульфатом приведена на рисунках 1 и 2 соответственно. Для контрольных ячеек Q и максимальный ток МТЭ составили 5,5 Кл и 28,9 мкА соответственно. Отмечено, что при внесении сульфидов максимум эффективной работы МТЭ приходился на период времени с 150 до 250 часов эксперимента и на концентраци</w:t>
      </w:r>
      <w:r>
        <w:t>ях</w:t>
      </w:r>
      <w:r w:rsidR="00422248">
        <w:t xml:space="preserve"> от 50 до 100 мг/л.</w:t>
      </w:r>
    </w:p>
    <w:p w:rsidR="00194D08" w:rsidRDefault="003F1DDB" w:rsidP="003F1DDB">
      <w:pPr>
        <w:pStyle w:val="normal"/>
        <w:spacing w:line="360" w:lineRule="auto"/>
        <w:ind w:right="2"/>
      </w:pPr>
      <w:r>
        <w:tab/>
      </w:r>
      <w:r w:rsidR="002642E3">
        <w:t>При</w:t>
      </w:r>
      <w:r w:rsidR="00422248">
        <w:t>том, что у контрольных МТЭ пик наблюдается на промежутке от 250 до 300 часов экспе</w:t>
      </w:r>
      <w:r w:rsidR="000434AA">
        <w:t>римента, при внесении сульфатов</w:t>
      </w:r>
      <w:r w:rsidR="00422248">
        <w:t xml:space="preserve"> максимум приходился на временной промежуток от 140 до 250 часов вне зависимости от</w:t>
      </w:r>
      <w:r w:rsidR="002642E3">
        <w:t xml:space="preserve"> </w:t>
      </w:r>
      <w:r w:rsidR="00422248">
        <w:t>концентрации, что позволяет судить об ускорении процессов электрогенеза</w:t>
      </w:r>
      <w:r w:rsidR="00507710">
        <w:t xml:space="preserve"> при внесении сульфатов по сравнению с сульфидами</w:t>
      </w:r>
      <w:r w:rsidR="00422248">
        <w:t>.</w:t>
      </w:r>
    </w:p>
    <w:p w:rsidR="00194D08" w:rsidRDefault="00507710" w:rsidP="003F1DDB">
      <w:pPr>
        <w:pStyle w:val="normal"/>
        <w:spacing w:line="360" w:lineRule="auto"/>
        <w:ind w:right="2"/>
        <w:rPr>
          <w:shd w:val="clear" w:color="auto" w:fill="EAD1DC"/>
        </w:rPr>
      </w:pPr>
      <w:r>
        <w:tab/>
        <w:t>Известно, что с</w:t>
      </w:r>
      <w:r w:rsidR="00422248">
        <w:t xml:space="preserve">ульфиды не только используются в цикле серы, как доноры электронов для </w:t>
      </w:r>
      <w:proofErr w:type="spellStart"/>
      <w:r w:rsidR="00422248">
        <w:t>сероокисляющих</w:t>
      </w:r>
      <w:proofErr w:type="spellEnd"/>
      <w:r w:rsidR="00422248">
        <w:t xml:space="preserve"> бактерий, но и в высоких концентрациях проявляют токсическое действие на микроорганизмы.</w:t>
      </w:r>
    </w:p>
    <w:p w:rsidR="00194D08" w:rsidRDefault="00507710" w:rsidP="003F1DDB">
      <w:pPr>
        <w:pStyle w:val="normal"/>
        <w:spacing w:line="360" w:lineRule="auto"/>
        <w:ind w:right="2"/>
      </w:pPr>
      <w:r>
        <w:tab/>
      </w:r>
      <w:r w:rsidR="00422248">
        <w:t>Оценка суммарного количества электричества, продуцируемого МТЭ, и пропорционального площади под кривой тока показал</w:t>
      </w:r>
      <w:r>
        <w:t>а</w:t>
      </w:r>
      <w:r w:rsidR="00422248">
        <w:t xml:space="preserve"> положительное влияние </w:t>
      </w:r>
      <w:r w:rsidR="00422248">
        <w:lastRenderedPageBreak/>
        <w:t xml:space="preserve">соединений серы на </w:t>
      </w:r>
      <w:proofErr w:type="spellStart"/>
      <w:r w:rsidR="00422248">
        <w:t>электрогенез</w:t>
      </w:r>
      <w:proofErr w:type="spellEnd"/>
      <w:r w:rsidR="00422248">
        <w:t>. Закономерность в изменении</w:t>
      </w:r>
      <w:r>
        <w:t>,</w:t>
      </w:r>
      <w:r w:rsidR="00422248">
        <w:t xml:space="preserve"> с </w:t>
      </w:r>
      <w:r>
        <w:t xml:space="preserve">ростом концентрации </w:t>
      </w:r>
      <w:r>
        <w:rPr>
          <w:lang w:val="en-US"/>
        </w:rPr>
        <w:t>S</w:t>
      </w:r>
      <w:r>
        <w:t xml:space="preserve">, </w:t>
      </w:r>
      <w:r w:rsidR="00422248">
        <w:t>показателя Q, у МТЭ с сульфидами и сульфатами была различной и значительно выше по сравнению с контролем.</w:t>
      </w:r>
    </w:p>
    <w:p w:rsidR="00194D08" w:rsidRDefault="00507710" w:rsidP="003F1DDB">
      <w:pPr>
        <w:pStyle w:val="normal"/>
        <w:spacing w:line="360" w:lineRule="auto"/>
        <w:ind w:right="2"/>
        <w:rPr>
          <w:highlight w:val="yellow"/>
        </w:rPr>
      </w:pPr>
      <w:r>
        <w:tab/>
      </w:r>
      <w:r w:rsidR="00422248">
        <w:t>Рассматривая внесение Na</w:t>
      </w:r>
      <w:r w:rsidR="00422248">
        <w:rPr>
          <w:vertAlign w:val="subscript"/>
        </w:rPr>
        <w:t>2</w:t>
      </w:r>
      <w:r w:rsidR="00422248">
        <w:t>S, можно сказать, что при концентрациях 10 и 500 мг/л, суммарное электричество составило 7,9 Кл и 6,9 Кл соответственно, по сравнению с контролем эти знач</w:t>
      </w:r>
      <w:r>
        <w:t>ения в 1,43 и 1,25 раз больше. П</w:t>
      </w:r>
      <w:r w:rsidR="00422248">
        <w:t>ри 50 и 100 мг/л, эти значения составили 10,7 Кл и 10,9 соответственно, что показывает увеличение электрогенеза в 1,94 и 1,98 раза. При внесении MgSO</w:t>
      </w:r>
      <w:r w:rsidR="00422248">
        <w:rPr>
          <w:vertAlign w:val="subscript"/>
        </w:rPr>
        <w:t>4</w:t>
      </w:r>
      <w:r w:rsidR="00422248">
        <w:t xml:space="preserve"> наблюдалось значительное увеличение суммарного электричества, при 10 мг/л - 12,6 Кл и значит в 2,29 раз бо</w:t>
      </w:r>
      <w:r w:rsidR="002642E3">
        <w:t xml:space="preserve">льше контроля, 50 мг/л - 17 Кл </w:t>
      </w:r>
      <w:r w:rsidR="00422248">
        <w:t>в 3 р</w:t>
      </w:r>
      <w:r w:rsidR="002642E3">
        <w:t xml:space="preserve">аза больше, 100 мг/л - 21,9 Кл </w:t>
      </w:r>
      <w:r w:rsidR="00422248">
        <w:t>в 3,98 раза больше, а также 500 мг/л</w:t>
      </w:r>
      <w:r w:rsidR="002642E3">
        <w:t xml:space="preserve"> - 25,6 Кл в 4,65 раза больше. </w:t>
      </w:r>
      <w:r w:rsidR="00422248">
        <w:t xml:space="preserve">При добавлении сульфида рост </w:t>
      </w:r>
      <w:proofErr w:type="spellStart"/>
      <w:r w:rsidR="00422248">
        <w:t>электрогенеза</w:t>
      </w:r>
      <w:proofErr w:type="spellEnd"/>
      <w:r w:rsidR="00422248">
        <w:t>, предположительно</w:t>
      </w:r>
      <w:r>
        <w:t>, мог</w:t>
      </w:r>
      <w:r w:rsidR="00422248">
        <w:t xml:space="preserve"> бы</w:t>
      </w:r>
      <w:r>
        <w:t>ть</w:t>
      </w:r>
      <w:r w:rsidR="00422248">
        <w:t xml:space="preserve"> связан со снижением </w:t>
      </w:r>
      <w:proofErr w:type="spellStart"/>
      <w:r w:rsidR="00422248">
        <w:t>редокс-потенциала</w:t>
      </w:r>
      <w:proofErr w:type="spellEnd"/>
      <w:r w:rsidR="00422248">
        <w:t xml:space="preserve"> в анодной камере. В аналогичных опытах это было связано с биогенным синтезом сульфита и сульфида, и тем самым демонстри</w:t>
      </w:r>
      <w:r w:rsidR="002642E3">
        <w:t xml:space="preserve">руя взаимосвязь </w:t>
      </w:r>
      <w:proofErr w:type="spellStart"/>
      <w:r w:rsidR="002642E3">
        <w:t>электрогенеза</w:t>
      </w:r>
      <w:proofErr w:type="spellEnd"/>
      <w:r w:rsidR="002642E3">
        <w:t xml:space="preserve"> и</w:t>
      </w:r>
      <w:r w:rsidR="000434AA">
        <w:t xml:space="preserve"> восстановления сульфата в МТЭ.</w:t>
      </w:r>
      <w:r w:rsidR="00422248">
        <w:t xml:space="preserve"> Данные том, что присутствие сульфатов влияет на состав микробиологических сообществ, увеличивая долю сульфатредуцирующих бактерий, что опосредованно влияет на электрогенез</w:t>
      </w:r>
      <w:r>
        <w:t>,</w:t>
      </w:r>
      <w:r w:rsidR="00422248">
        <w:t xml:space="preserve"> был</w:t>
      </w:r>
      <w:r>
        <w:t>и</w:t>
      </w:r>
      <w:r w:rsidR="00422248">
        <w:t xml:space="preserve"> показано так</w:t>
      </w:r>
      <w:r w:rsidR="000434AA">
        <w:t xml:space="preserve">же </w:t>
      </w:r>
      <w:proofErr w:type="spellStart"/>
      <w:r w:rsidR="000434AA">
        <w:t>Xiaoye</w:t>
      </w:r>
      <w:proofErr w:type="spellEnd"/>
      <w:r w:rsidR="000434AA">
        <w:t xml:space="preserve"> S. с соавторами</w:t>
      </w:r>
      <w:r w:rsidR="00422248">
        <w:t>.</w:t>
      </w:r>
    </w:p>
    <w:p w:rsidR="00194D08" w:rsidRDefault="00507710" w:rsidP="003F1DDB">
      <w:pPr>
        <w:pStyle w:val="normal"/>
        <w:spacing w:line="360" w:lineRule="auto"/>
        <w:ind w:right="2"/>
        <w:rPr>
          <w:highlight w:val="white"/>
        </w:rPr>
      </w:pPr>
      <w:r>
        <w:tab/>
      </w:r>
      <w:r w:rsidR="00422248">
        <w:t xml:space="preserve">Повышение концентрации сульфидов, по сравнению с сульфатами, </w:t>
      </w:r>
      <w:r>
        <w:t>менее</w:t>
      </w:r>
      <w:r w:rsidR="00422248">
        <w:t xml:space="preserve"> влияло на электрогенез в МТЭ. Предположительно, это может также происходить из-за их негативного влиян</w:t>
      </w:r>
      <w:r>
        <w:t xml:space="preserve">ия на </w:t>
      </w:r>
      <w:proofErr w:type="spellStart"/>
      <w:r>
        <w:t>протонобменную</w:t>
      </w:r>
      <w:proofErr w:type="spellEnd"/>
      <w:r>
        <w:t xml:space="preserve"> мембрану. </w:t>
      </w:r>
      <w:r w:rsidR="00422248">
        <w:t xml:space="preserve">Обнаружено, что внесение как сульфидов, так и сульфатов, увеличивает электрогенез МТЭ. Известно, что </w:t>
      </w:r>
      <w:proofErr w:type="gramStart"/>
      <w:r w:rsidR="00422248">
        <w:t>в</w:t>
      </w:r>
      <w:proofErr w:type="gramEnd"/>
      <w:r w:rsidR="00422248">
        <w:t xml:space="preserve"> </w:t>
      </w:r>
      <w:proofErr w:type="gramStart"/>
      <w:r w:rsidR="00422248">
        <w:t>сульфидных</w:t>
      </w:r>
      <w:proofErr w:type="gramEnd"/>
      <w:r w:rsidR="00422248">
        <w:t xml:space="preserve"> МТЭ сульфид выполняет роль медиатора, перенося заряд в </w:t>
      </w:r>
      <w:r w:rsidR="002642E3">
        <w:t xml:space="preserve">анодной камере </w:t>
      </w:r>
      <w:r w:rsidR="00422248">
        <w:t>МТЭ, что обес</w:t>
      </w:r>
      <w:r w:rsidR="00422248">
        <w:rPr>
          <w:highlight w:val="white"/>
        </w:rPr>
        <w:t>печивает подачу электр</w:t>
      </w:r>
      <w:r w:rsidR="000434AA">
        <w:rPr>
          <w:highlight w:val="white"/>
        </w:rPr>
        <w:t>онов во внешнюю цепь</w:t>
      </w:r>
      <w:r w:rsidR="00422248">
        <w:rPr>
          <w:highlight w:val="white"/>
        </w:rPr>
        <w:t xml:space="preserve">. </w:t>
      </w:r>
    </w:p>
    <w:p w:rsidR="00194D08" w:rsidRDefault="00507710" w:rsidP="003F1DDB">
      <w:pPr>
        <w:pStyle w:val="normal"/>
        <w:spacing w:line="360" w:lineRule="auto"/>
        <w:ind w:right="2"/>
      </w:pPr>
      <w:r>
        <w:rPr>
          <w:highlight w:val="white"/>
        </w:rPr>
        <w:tab/>
      </w:r>
      <w:r w:rsidR="00422248">
        <w:rPr>
          <w:highlight w:val="white"/>
        </w:rPr>
        <w:t xml:space="preserve">Серосодержащие соединения играют огромную роль в процессах электрогенеза в МТЭ, являясь потенциальным медиатором переноса электронов. В каждом случае добавления сульфатов и </w:t>
      </w:r>
      <w:r w:rsidR="00422248">
        <w:t xml:space="preserve">сульфидов, вне зависимости от </w:t>
      </w:r>
      <w:r w:rsidR="00422248" w:rsidRPr="00507710">
        <w:t>концентраций,</w:t>
      </w:r>
      <w:r w:rsidRPr="00507710">
        <w:t xml:space="preserve"> исключая максимальную использованную </w:t>
      </w:r>
      <w:r w:rsidRPr="00507710">
        <w:lastRenderedPageBreak/>
        <w:t>концентрацию</w:t>
      </w:r>
      <w:r w:rsidR="00422248" w:rsidRPr="00507710">
        <w:t xml:space="preserve"> </w:t>
      </w:r>
      <w:r w:rsidRPr="00507710">
        <w:t>Na</w:t>
      </w:r>
      <w:r w:rsidRPr="00507710">
        <w:rPr>
          <w:vertAlign w:val="subscript"/>
        </w:rPr>
        <w:t>2</w:t>
      </w:r>
      <w:r w:rsidRPr="00507710">
        <w:t>S</w:t>
      </w:r>
      <w:r>
        <w:t>,</w:t>
      </w:r>
      <w:r w:rsidRPr="00507710">
        <w:t xml:space="preserve"> </w:t>
      </w:r>
      <w:r w:rsidR="00422248" w:rsidRPr="00507710">
        <w:t>сила тока и напряжение МТЭ увеличивалось. По результатам исследования</w:t>
      </w:r>
      <w:r w:rsidR="00422248">
        <w:t xml:space="preserve"> видно, что самые высокие и стабильные показатели прироста электрогенеза обеспечиваются сульфатами, несмотря на то, что они являются потенциальными конкурентами с анодом за восстановительные эквиваленты. </w:t>
      </w:r>
    </w:p>
    <w:p w:rsidR="00194D08" w:rsidRDefault="00194D08" w:rsidP="003F1DDB">
      <w:pPr>
        <w:pStyle w:val="normal"/>
        <w:spacing w:line="360" w:lineRule="auto"/>
        <w:ind w:right="2"/>
      </w:pPr>
    </w:p>
    <w:sectPr w:rsidR="00194D08" w:rsidSect="003F1DDB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4D08"/>
    <w:rsid w:val="000434AA"/>
    <w:rsid w:val="00054474"/>
    <w:rsid w:val="00194D08"/>
    <w:rsid w:val="002642E3"/>
    <w:rsid w:val="003F1DDB"/>
    <w:rsid w:val="00422248"/>
    <w:rsid w:val="00507710"/>
    <w:rsid w:val="00B82F6C"/>
    <w:rsid w:val="00BC68A6"/>
    <w:rsid w:val="00DC66A8"/>
    <w:rsid w:val="00E0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55"/>
  </w:style>
  <w:style w:type="paragraph" w:styleId="1">
    <w:name w:val="heading 1"/>
    <w:basedOn w:val="normal"/>
    <w:next w:val="normal"/>
    <w:rsid w:val="00194D0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94D0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94D08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normal"/>
    <w:next w:val="normal"/>
    <w:rsid w:val="00194D0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94D08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normal"/>
    <w:next w:val="normal"/>
    <w:rsid w:val="00194D08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94D08"/>
  </w:style>
  <w:style w:type="table" w:customStyle="1" w:styleId="TableNormal">
    <w:name w:val="Table Normal"/>
    <w:rsid w:val="00194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94D0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94D08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rsid w:val="00194D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1D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</cp:lastModifiedBy>
  <cp:revision>6</cp:revision>
  <dcterms:created xsi:type="dcterms:W3CDTF">2021-03-29T21:36:00Z</dcterms:created>
  <dcterms:modified xsi:type="dcterms:W3CDTF">2021-05-18T15:15:00Z</dcterms:modified>
</cp:coreProperties>
</file>